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336" w:type="dxa"/>
        <w:tblInd w:w="13" w:type="dxa"/>
        <w:tblCellMar>
          <w:left w:w="28" w:type="dxa"/>
          <w:right w:w="28" w:type="dxa"/>
        </w:tblCellMar>
        <w:tblLook w:val="04A0" w:firstRow="1" w:lastRow="0" w:firstColumn="1" w:lastColumn="0" w:noHBand="0" w:noVBand="1"/>
      </w:tblPr>
      <w:tblGrid>
        <w:gridCol w:w="8336"/>
      </w:tblGrid>
      <w:tr w:rsidR="008A615B" w:rsidRPr="008A615B" w14:paraId="1C7CF89A" w14:textId="77777777" w:rsidTr="008A615B">
        <w:trPr>
          <w:trHeight w:val="330"/>
        </w:trPr>
        <w:tc>
          <w:tcPr>
            <w:tcW w:w="8336" w:type="dxa"/>
            <w:tcBorders>
              <w:top w:val="nil"/>
              <w:left w:val="nil"/>
              <w:bottom w:val="nil"/>
              <w:right w:val="nil"/>
            </w:tcBorders>
            <w:shd w:val="clear" w:color="auto" w:fill="auto"/>
            <w:noWrap/>
            <w:vAlign w:val="bottom"/>
            <w:hideMark/>
          </w:tcPr>
          <w:p w14:paraId="1916D884" w14:textId="1FD22EC1" w:rsidR="008A615B" w:rsidRPr="00C962D4" w:rsidRDefault="00C962D4" w:rsidP="00C962D4">
            <w:pPr>
              <w:widowControl/>
              <w:jc w:val="center"/>
              <w:rPr>
                <w:rFonts w:ascii="Times New Roman" w:eastAsia="標楷體" w:hAnsi="Times New Roman" w:cs="Times New Roman"/>
                <w:color w:val="000000"/>
                <w:kern w:val="0"/>
                <w:sz w:val="32"/>
                <w:szCs w:val="32"/>
              </w:rPr>
            </w:pPr>
            <w:r w:rsidRPr="00C962D4">
              <w:rPr>
                <w:rFonts w:ascii="Times New Roman" w:eastAsia="標楷體" w:hAnsi="Times New Roman" w:cs="Times New Roman" w:hint="eastAsia"/>
                <w:color w:val="000000"/>
                <w:kern w:val="0"/>
                <w:sz w:val="32"/>
                <w:szCs w:val="32"/>
              </w:rPr>
              <w:t>臺東縣</w:t>
            </w:r>
            <w:r w:rsidR="00E64CDE">
              <w:rPr>
                <w:rFonts w:ascii="Times New Roman" w:eastAsia="標楷體" w:hAnsi="Times New Roman" w:cs="Times New Roman" w:hint="eastAsia"/>
                <w:color w:val="000000"/>
                <w:kern w:val="0"/>
                <w:sz w:val="32"/>
                <w:szCs w:val="32"/>
              </w:rPr>
              <w:t>鹿野</w:t>
            </w:r>
            <w:r w:rsidR="008A615B" w:rsidRPr="00C962D4">
              <w:rPr>
                <w:rFonts w:ascii="Times New Roman" w:eastAsia="標楷體" w:hAnsi="Times New Roman" w:cs="Times New Roman"/>
                <w:color w:val="000000"/>
                <w:kern w:val="0"/>
                <w:sz w:val="32"/>
                <w:szCs w:val="32"/>
              </w:rPr>
              <w:t>鄉漁戶及漁戶人口數編製說明</w:t>
            </w:r>
          </w:p>
        </w:tc>
      </w:tr>
      <w:tr w:rsidR="008A615B" w:rsidRPr="008A615B" w14:paraId="71B46EB2" w14:textId="77777777" w:rsidTr="008A615B">
        <w:trPr>
          <w:trHeight w:val="285"/>
        </w:trPr>
        <w:tc>
          <w:tcPr>
            <w:tcW w:w="8336" w:type="dxa"/>
            <w:tcBorders>
              <w:top w:val="nil"/>
              <w:left w:val="nil"/>
              <w:bottom w:val="nil"/>
              <w:right w:val="nil"/>
            </w:tcBorders>
            <w:shd w:val="clear" w:color="auto" w:fill="auto"/>
            <w:noWrap/>
            <w:vAlign w:val="bottom"/>
            <w:hideMark/>
          </w:tcPr>
          <w:p w14:paraId="0159EBB7" w14:textId="751DBC5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一、目的：明瞭本</w:t>
            </w:r>
            <w:r w:rsidRPr="00C962D4">
              <w:rPr>
                <w:rFonts w:ascii="Times New Roman" w:eastAsia="標楷體" w:hAnsi="Times New Roman" w:cs="Times New Roman"/>
                <w:color w:val="FF0000"/>
                <w:kern w:val="0"/>
                <w:sz w:val="26"/>
                <w:szCs w:val="26"/>
              </w:rPr>
              <w:t>鄉</w:t>
            </w:r>
            <w:r w:rsidRPr="00C962D4">
              <w:rPr>
                <w:rFonts w:ascii="Times New Roman" w:eastAsia="標楷體" w:hAnsi="Times New Roman" w:cs="Times New Roman"/>
                <w:color w:val="000000"/>
                <w:kern w:val="0"/>
                <w:sz w:val="26"/>
                <w:szCs w:val="26"/>
              </w:rPr>
              <w:t>漁戶及其家屬人口數量及其分佈情形</w:t>
            </w:r>
            <w:r w:rsidRPr="00C962D4">
              <w:rPr>
                <w:rFonts w:ascii="Times New Roman" w:eastAsia="標楷體" w:hAnsi="Times New Roman" w:cs="Times New Roman"/>
                <w:color w:val="000000"/>
                <w:kern w:val="0"/>
                <w:sz w:val="26"/>
                <w:szCs w:val="26"/>
              </w:rPr>
              <w:t>,</w:t>
            </w:r>
            <w:r w:rsidRPr="00C962D4">
              <w:rPr>
                <w:rFonts w:ascii="Times New Roman" w:eastAsia="標楷體" w:hAnsi="Times New Roman" w:cs="Times New Roman"/>
                <w:color w:val="000000"/>
                <w:kern w:val="0"/>
                <w:sz w:val="26"/>
                <w:szCs w:val="26"/>
              </w:rPr>
              <w:t>以供漁業主管機關作為計算漁民所得，及其他漁業行政措施。</w:t>
            </w:r>
          </w:p>
        </w:tc>
      </w:tr>
      <w:tr w:rsidR="008A615B" w:rsidRPr="008A615B" w14:paraId="66626593" w14:textId="77777777" w:rsidTr="008A615B">
        <w:trPr>
          <w:trHeight w:val="285"/>
        </w:trPr>
        <w:tc>
          <w:tcPr>
            <w:tcW w:w="8336" w:type="dxa"/>
            <w:tcBorders>
              <w:top w:val="nil"/>
              <w:left w:val="nil"/>
              <w:bottom w:val="nil"/>
              <w:right w:val="nil"/>
            </w:tcBorders>
            <w:shd w:val="clear" w:color="auto" w:fill="auto"/>
            <w:noWrap/>
            <w:vAlign w:val="bottom"/>
            <w:hideMark/>
          </w:tcPr>
          <w:p w14:paraId="32078ABE"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二、統計範圍及對象：本調查以本鄉鎮市戶籍所在地之漁戶及漁戶人口數為準。</w:t>
            </w:r>
          </w:p>
        </w:tc>
      </w:tr>
      <w:tr w:rsidR="008A615B" w:rsidRPr="008A615B" w14:paraId="0B3015B4" w14:textId="77777777" w:rsidTr="008A615B">
        <w:trPr>
          <w:trHeight w:val="285"/>
        </w:trPr>
        <w:tc>
          <w:tcPr>
            <w:tcW w:w="8336" w:type="dxa"/>
            <w:tcBorders>
              <w:top w:val="nil"/>
              <w:left w:val="nil"/>
              <w:bottom w:val="nil"/>
              <w:right w:val="nil"/>
            </w:tcBorders>
            <w:shd w:val="clear" w:color="auto" w:fill="auto"/>
            <w:noWrap/>
            <w:vAlign w:val="bottom"/>
            <w:hideMark/>
          </w:tcPr>
          <w:p w14:paraId="67DFAE56"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三、統計標準時間：以每年十二月三十一日之事實為準。</w:t>
            </w:r>
          </w:p>
        </w:tc>
      </w:tr>
      <w:tr w:rsidR="008A615B" w:rsidRPr="008A615B" w14:paraId="4DAF02D9" w14:textId="77777777" w:rsidTr="008A615B">
        <w:trPr>
          <w:trHeight w:val="285"/>
        </w:trPr>
        <w:tc>
          <w:tcPr>
            <w:tcW w:w="8336" w:type="dxa"/>
            <w:tcBorders>
              <w:top w:val="nil"/>
              <w:left w:val="nil"/>
              <w:bottom w:val="nil"/>
              <w:right w:val="nil"/>
            </w:tcBorders>
            <w:shd w:val="clear" w:color="auto" w:fill="auto"/>
            <w:noWrap/>
            <w:vAlign w:val="bottom"/>
            <w:hideMark/>
          </w:tcPr>
          <w:p w14:paraId="4EBD428D"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四、分類標準：均分遠洋、近海、沿岸、海面養殖、內陸漁撈、內陸養殖等六類加以統計。</w:t>
            </w:r>
          </w:p>
        </w:tc>
      </w:tr>
      <w:tr w:rsidR="008A615B" w:rsidRPr="008A615B" w14:paraId="68ABE251" w14:textId="77777777" w:rsidTr="008A615B">
        <w:trPr>
          <w:trHeight w:val="285"/>
        </w:trPr>
        <w:tc>
          <w:tcPr>
            <w:tcW w:w="8336" w:type="dxa"/>
            <w:tcBorders>
              <w:top w:val="nil"/>
              <w:left w:val="nil"/>
              <w:bottom w:val="nil"/>
              <w:right w:val="nil"/>
            </w:tcBorders>
            <w:shd w:val="clear" w:color="auto" w:fill="auto"/>
            <w:noWrap/>
            <w:vAlign w:val="bottom"/>
            <w:hideMark/>
          </w:tcPr>
          <w:p w14:paraId="4E0D20B0"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五、有關法令規章：根據統計法、漁業法、漁業法施行細則。</w:t>
            </w:r>
          </w:p>
        </w:tc>
      </w:tr>
      <w:tr w:rsidR="008A615B" w:rsidRPr="008A615B" w14:paraId="5E5E9CA7" w14:textId="77777777" w:rsidTr="008A615B">
        <w:trPr>
          <w:trHeight w:val="285"/>
        </w:trPr>
        <w:tc>
          <w:tcPr>
            <w:tcW w:w="8336" w:type="dxa"/>
            <w:tcBorders>
              <w:top w:val="nil"/>
              <w:left w:val="nil"/>
              <w:bottom w:val="nil"/>
              <w:right w:val="nil"/>
            </w:tcBorders>
            <w:shd w:val="clear" w:color="auto" w:fill="auto"/>
            <w:noWrap/>
            <w:vAlign w:val="bottom"/>
            <w:hideMark/>
          </w:tcPr>
          <w:p w14:paraId="25162A39"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六、統計項目定義</w:t>
            </w:r>
            <w:r w:rsidRPr="00C962D4">
              <w:rPr>
                <w:rFonts w:ascii="Times New Roman" w:eastAsia="標楷體" w:hAnsi="Times New Roman" w:cs="Times New Roman"/>
                <w:color w:val="000000"/>
                <w:kern w:val="0"/>
                <w:sz w:val="26"/>
                <w:szCs w:val="26"/>
              </w:rPr>
              <w:t>(</w:t>
            </w:r>
            <w:r w:rsidRPr="00C962D4">
              <w:rPr>
                <w:rFonts w:ascii="Times New Roman" w:eastAsia="標楷體" w:hAnsi="Times New Roman" w:cs="Times New Roman"/>
                <w:color w:val="000000"/>
                <w:kern w:val="0"/>
                <w:sz w:val="26"/>
                <w:szCs w:val="26"/>
              </w:rPr>
              <w:t>或說明</w:t>
            </w:r>
            <w:r w:rsidRPr="00C962D4">
              <w:rPr>
                <w:rFonts w:ascii="Times New Roman" w:eastAsia="標楷體" w:hAnsi="Times New Roman" w:cs="Times New Roman"/>
                <w:color w:val="000000"/>
                <w:kern w:val="0"/>
                <w:sz w:val="26"/>
                <w:szCs w:val="26"/>
              </w:rPr>
              <w:t>)</w:t>
            </w:r>
            <w:r w:rsidRPr="00C962D4">
              <w:rPr>
                <w:rFonts w:ascii="Times New Roman" w:eastAsia="標楷體" w:hAnsi="Times New Roman" w:cs="Times New Roman"/>
                <w:color w:val="000000"/>
                <w:kern w:val="0"/>
                <w:sz w:val="26"/>
                <w:szCs w:val="26"/>
              </w:rPr>
              <w:t>：</w:t>
            </w:r>
          </w:p>
        </w:tc>
      </w:tr>
      <w:tr w:rsidR="008A615B" w:rsidRPr="008A615B" w14:paraId="422E81A5" w14:textId="77777777" w:rsidTr="008A615B">
        <w:trPr>
          <w:trHeight w:val="612"/>
        </w:trPr>
        <w:tc>
          <w:tcPr>
            <w:tcW w:w="8336" w:type="dxa"/>
            <w:tcBorders>
              <w:top w:val="nil"/>
              <w:left w:val="nil"/>
              <w:bottom w:val="nil"/>
              <w:right w:val="nil"/>
            </w:tcBorders>
            <w:shd w:val="clear" w:color="auto" w:fill="auto"/>
            <w:vAlign w:val="bottom"/>
            <w:hideMark/>
          </w:tcPr>
          <w:p w14:paraId="6EACAB9A" w14:textId="77777777" w:rsidR="00C962D4" w:rsidRPr="00C962D4" w:rsidRDefault="008A615B" w:rsidP="00C962D4">
            <w:pPr>
              <w:pStyle w:val="a3"/>
              <w:widowControl/>
              <w:numPr>
                <w:ilvl w:val="0"/>
                <w:numId w:val="2"/>
              </w:numPr>
              <w:ind w:leftChars="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漁戶：不論漁業經營者（僅投資漁業而未負實際經營責任者除外）</w:t>
            </w:r>
          </w:p>
          <w:p w14:paraId="7140133A" w14:textId="77777777" w:rsidR="008A615B" w:rsidRPr="00C962D4" w:rsidRDefault="008A615B" w:rsidP="00C962D4">
            <w:pPr>
              <w:pStyle w:val="a3"/>
              <w:widowControl/>
              <w:ind w:leftChars="0" w:left="96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或被僱從事漁業者（限被僱直接從事漁撈或養殖工作者），凡其漁業收入達該戶總收入二分之一以上者為漁戶，戶籍登記者為準，漁戶中有兼營二種以上之漁業者，應以其收入最高之一種為準。</w:t>
            </w:r>
          </w:p>
        </w:tc>
      </w:tr>
      <w:tr w:rsidR="008A615B" w:rsidRPr="008A615B" w14:paraId="5BFEB19F" w14:textId="77777777" w:rsidTr="008A615B">
        <w:trPr>
          <w:trHeight w:val="600"/>
        </w:trPr>
        <w:tc>
          <w:tcPr>
            <w:tcW w:w="8336" w:type="dxa"/>
            <w:tcBorders>
              <w:top w:val="nil"/>
              <w:left w:val="nil"/>
              <w:bottom w:val="nil"/>
              <w:right w:val="nil"/>
            </w:tcBorders>
            <w:shd w:val="clear" w:color="auto" w:fill="auto"/>
            <w:vAlign w:val="bottom"/>
            <w:hideMark/>
          </w:tcPr>
          <w:p w14:paraId="0D306E3C" w14:textId="77777777" w:rsidR="00C962D4" w:rsidRPr="00C962D4" w:rsidRDefault="008A615B" w:rsidP="00C962D4">
            <w:pPr>
              <w:pStyle w:val="a3"/>
              <w:widowControl/>
              <w:numPr>
                <w:ilvl w:val="0"/>
                <w:numId w:val="2"/>
              </w:numPr>
              <w:ind w:leftChars="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漁戶人口數：凡漁戶內之人口均視為漁戶人口數，如遠洋漁戶內</w:t>
            </w:r>
          </w:p>
          <w:p w14:paraId="1601BEBA" w14:textId="77777777" w:rsidR="008A615B" w:rsidRPr="00C962D4" w:rsidRDefault="008A615B" w:rsidP="00C962D4">
            <w:pPr>
              <w:pStyle w:val="a3"/>
              <w:widowControl/>
              <w:ind w:leftChars="0" w:left="96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之人口，均列入遠洋漁戶人口計算。因就學或服役等關係，暫時遷出之人口，仍視為漁戶內人口；惟戶內如有共同居住，但未負共同生活義務之寄籍人口，則應予剔除。</w:t>
            </w:r>
          </w:p>
        </w:tc>
      </w:tr>
      <w:tr w:rsidR="008A615B" w:rsidRPr="008A615B" w14:paraId="3DE43F6F" w14:textId="77777777" w:rsidTr="008A615B">
        <w:trPr>
          <w:trHeight w:val="285"/>
        </w:trPr>
        <w:tc>
          <w:tcPr>
            <w:tcW w:w="8336" w:type="dxa"/>
            <w:tcBorders>
              <w:top w:val="nil"/>
              <w:left w:val="nil"/>
              <w:bottom w:val="nil"/>
              <w:right w:val="nil"/>
            </w:tcBorders>
            <w:shd w:val="clear" w:color="auto" w:fill="auto"/>
            <w:noWrap/>
            <w:vAlign w:val="bottom"/>
            <w:hideMark/>
          </w:tcPr>
          <w:p w14:paraId="54F1089D"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七、一般說明：</w:t>
            </w:r>
          </w:p>
        </w:tc>
      </w:tr>
      <w:tr w:rsidR="008A615B" w:rsidRPr="008A615B" w14:paraId="55A22E80" w14:textId="77777777" w:rsidTr="008A615B">
        <w:trPr>
          <w:trHeight w:val="285"/>
        </w:trPr>
        <w:tc>
          <w:tcPr>
            <w:tcW w:w="8336" w:type="dxa"/>
            <w:tcBorders>
              <w:top w:val="nil"/>
              <w:left w:val="nil"/>
              <w:bottom w:val="nil"/>
              <w:right w:val="nil"/>
            </w:tcBorders>
            <w:shd w:val="clear" w:color="auto" w:fill="auto"/>
            <w:noWrap/>
            <w:vAlign w:val="bottom"/>
            <w:hideMark/>
          </w:tcPr>
          <w:p w14:paraId="78625B57" w14:textId="77777777" w:rsidR="00C962D4" w:rsidRPr="00C962D4" w:rsidRDefault="008A615B" w:rsidP="00C962D4">
            <w:pPr>
              <w:pStyle w:val="a3"/>
              <w:widowControl/>
              <w:numPr>
                <w:ilvl w:val="0"/>
                <w:numId w:val="1"/>
              </w:numPr>
              <w:ind w:leftChars="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戶內如有共同居住，但未負共同生活義務之寄藉人口，如傭人，</w:t>
            </w:r>
          </w:p>
          <w:p w14:paraId="70570686" w14:textId="77777777" w:rsidR="008A615B" w:rsidRPr="00C962D4" w:rsidRDefault="008A615B" w:rsidP="00C962D4">
            <w:pPr>
              <w:pStyle w:val="a3"/>
              <w:widowControl/>
              <w:ind w:leftChars="0" w:left="975"/>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則應予除外。</w:t>
            </w:r>
          </w:p>
        </w:tc>
      </w:tr>
      <w:tr w:rsidR="008A615B" w:rsidRPr="008A615B" w14:paraId="036C47EF" w14:textId="77777777" w:rsidTr="008A615B">
        <w:trPr>
          <w:trHeight w:val="285"/>
        </w:trPr>
        <w:tc>
          <w:tcPr>
            <w:tcW w:w="8336" w:type="dxa"/>
            <w:tcBorders>
              <w:top w:val="nil"/>
              <w:left w:val="nil"/>
              <w:bottom w:val="nil"/>
              <w:right w:val="nil"/>
            </w:tcBorders>
            <w:shd w:val="clear" w:color="auto" w:fill="auto"/>
            <w:noWrap/>
            <w:vAlign w:val="bottom"/>
            <w:hideMark/>
          </w:tcPr>
          <w:p w14:paraId="49DECD06" w14:textId="77777777" w:rsidR="008A615B" w:rsidRPr="00C962D4" w:rsidRDefault="00C962D4" w:rsidP="00C962D4">
            <w:pPr>
              <w:widowControl/>
              <w:rPr>
                <w:rFonts w:ascii="Times New Roman" w:eastAsia="標楷體" w:hAnsi="Times New Roman" w:cs="Times New Roman"/>
                <w:color w:val="000000"/>
                <w:kern w:val="0"/>
                <w:sz w:val="26"/>
                <w:szCs w:val="26"/>
              </w:rPr>
            </w:pPr>
            <w:r>
              <w:rPr>
                <w:rFonts w:ascii="Times New Roman" w:eastAsia="標楷體" w:hAnsi="Times New Roman" w:cs="Times New Roman" w:hint="eastAsia"/>
                <w:color w:val="000000"/>
                <w:kern w:val="0"/>
                <w:sz w:val="26"/>
                <w:szCs w:val="26"/>
              </w:rPr>
              <w:t xml:space="preserve">    </w:t>
            </w:r>
            <w:r w:rsidR="008A615B" w:rsidRPr="00C962D4">
              <w:rPr>
                <w:rFonts w:ascii="Times New Roman" w:eastAsia="標楷體" w:hAnsi="Times New Roman" w:cs="Times New Roman"/>
                <w:color w:val="000000"/>
                <w:kern w:val="0"/>
                <w:sz w:val="26"/>
                <w:szCs w:val="26"/>
              </w:rPr>
              <w:t>(</w:t>
            </w:r>
            <w:r w:rsidR="008A615B" w:rsidRPr="00C962D4">
              <w:rPr>
                <w:rFonts w:ascii="Times New Roman" w:eastAsia="標楷體" w:hAnsi="Times New Roman" w:cs="Times New Roman"/>
                <w:color w:val="000000"/>
                <w:kern w:val="0"/>
                <w:sz w:val="26"/>
                <w:szCs w:val="26"/>
              </w:rPr>
              <w:t>二</w:t>
            </w:r>
            <w:r w:rsidR="008A615B" w:rsidRPr="00C962D4">
              <w:rPr>
                <w:rFonts w:ascii="Times New Roman" w:eastAsia="標楷體" w:hAnsi="Times New Roman" w:cs="Times New Roman"/>
                <w:color w:val="000000"/>
                <w:kern w:val="0"/>
                <w:sz w:val="26"/>
                <w:szCs w:val="26"/>
              </w:rPr>
              <w:t>)</w:t>
            </w:r>
            <w:r w:rsidR="008A615B" w:rsidRPr="00C962D4">
              <w:rPr>
                <w:rFonts w:ascii="Times New Roman" w:eastAsia="標楷體" w:hAnsi="Times New Roman" w:cs="Times New Roman"/>
                <w:color w:val="000000"/>
                <w:kern w:val="0"/>
                <w:sz w:val="26"/>
                <w:szCs w:val="26"/>
              </w:rPr>
              <w:t>因就學或服役等關係暫時遷出之人口，仍應視為其漁戶內之人口。</w:t>
            </w:r>
          </w:p>
        </w:tc>
      </w:tr>
      <w:tr w:rsidR="008A615B" w:rsidRPr="008A615B" w14:paraId="485D530B" w14:textId="77777777" w:rsidTr="008A615B">
        <w:trPr>
          <w:trHeight w:val="285"/>
        </w:trPr>
        <w:tc>
          <w:tcPr>
            <w:tcW w:w="8336" w:type="dxa"/>
            <w:tcBorders>
              <w:top w:val="nil"/>
              <w:left w:val="nil"/>
              <w:bottom w:val="nil"/>
              <w:right w:val="nil"/>
            </w:tcBorders>
            <w:shd w:val="clear" w:color="auto" w:fill="auto"/>
            <w:noWrap/>
            <w:vAlign w:val="bottom"/>
            <w:hideMark/>
          </w:tcPr>
          <w:p w14:paraId="6C104CC0"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八、資料蒐集方法及編製程序：根據本鄉鎮市漁民戶籍資料及漁業登記證</w:t>
            </w:r>
            <w:r w:rsidRPr="00C962D4">
              <w:rPr>
                <w:rFonts w:ascii="Times New Roman" w:eastAsia="標楷體" w:hAnsi="Times New Roman" w:cs="Times New Roman"/>
                <w:color w:val="000000"/>
                <w:kern w:val="0"/>
                <w:sz w:val="26"/>
                <w:szCs w:val="26"/>
              </w:rPr>
              <w:t>,</w:t>
            </w:r>
            <w:r w:rsidRPr="00C962D4">
              <w:rPr>
                <w:rFonts w:ascii="Times New Roman" w:eastAsia="標楷體" w:hAnsi="Times New Roman" w:cs="Times New Roman"/>
                <w:color w:val="000000"/>
                <w:kern w:val="0"/>
                <w:sz w:val="26"/>
                <w:szCs w:val="26"/>
              </w:rPr>
              <w:t>逐項查記填表送由漁業主管單位予以彙編。</w:t>
            </w:r>
          </w:p>
        </w:tc>
      </w:tr>
      <w:tr w:rsidR="008A615B" w:rsidRPr="008A615B" w14:paraId="38C74936" w14:textId="77777777" w:rsidTr="008A615B">
        <w:trPr>
          <w:trHeight w:val="285"/>
        </w:trPr>
        <w:tc>
          <w:tcPr>
            <w:tcW w:w="8336" w:type="dxa"/>
            <w:tcBorders>
              <w:top w:val="nil"/>
              <w:left w:val="nil"/>
              <w:bottom w:val="nil"/>
              <w:right w:val="nil"/>
            </w:tcBorders>
            <w:shd w:val="clear" w:color="auto" w:fill="auto"/>
            <w:noWrap/>
            <w:vAlign w:val="bottom"/>
            <w:hideMark/>
          </w:tcPr>
          <w:p w14:paraId="3F47990C"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九、編送對象：本表編製一式</w:t>
            </w:r>
            <w:r w:rsidRPr="00C962D4">
              <w:rPr>
                <w:rFonts w:ascii="Times New Roman" w:eastAsia="標楷體" w:hAnsi="Times New Roman" w:cs="Times New Roman"/>
                <w:color w:val="000000"/>
                <w:kern w:val="0"/>
                <w:sz w:val="26"/>
                <w:szCs w:val="26"/>
              </w:rPr>
              <w:t>3</w:t>
            </w:r>
            <w:r w:rsidRPr="00C962D4">
              <w:rPr>
                <w:rFonts w:ascii="Times New Roman" w:eastAsia="標楷體" w:hAnsi="Times New Roman" w:cs="Times New Roman"/>
                <w:color w:val="000000"/>
                <w:kern w:val="0"/>
                <w:sz w:val="26"/>
                <w:szCs w:val="26"/>
              </w:rPr>
              <w:t>份，先送主計室會核後抽存</w:t>
            </w:r>
            <w:r w:rsidRPr="00C962D4">
              <w:rPr>
                <w:rFonts w:ascii="Times New Roman" w:eastAsia="標楷體" w:hAnsi="Times New Roman" w:cs="Times New Roman"/>
                <w:color w:val="000000"/>
                <w:kern w:val="0"/>
                <w:sz w:val="26"/>
                <w:szCs w:val="26"/>
              </w:rPr>
              <w:t>1</w:t>
            </w:r>
            <w:r w:rsidRPr="00C962D4">
              <w:rPr>
                <w:rFonts w:ascii="Times New Roman" w:eastAsia="標楷體" w:hAnsi="Times New Roman" w:cs="Times New Roman"/>
                <w:color w:val="000000"/>
                <w:kern w:val="0"/>
                <w:sz w:val="26"/>
                <w:szCs w:val="26"/>
              </w:rPr>
              <w:t>份，</w:t>
            </w:r>
            <w:r w:rsidRPr="00C962D4">
              <w:rPr>
                <w:rFonts w:ascii="Times New Roman" w:eastAsia="標楷體" w:hAnsi="Times New Roman" w:cs="Times New Roman"/>
                <w:color w:val="000000"/>
                <w:kern w:val="0"/>
                <w:sz w:val="26"/>
                <w:szCs w:val="26"/>
              </w:rPr>
              <w:t>1</w:t>
            </w:r>
            <w:r w:rsidRPr="00C962D4">
              <w:rPr>
                <w:rFonts w:ascii="Times New Roman" w:eastAsia="標楷體" w:hAnsi="Times New Roman" w:cs="Times New Roman"/>
                <w:color w:val="000000"/>
                <w:kern w:val="0"/>
                <w:sz w:val="26"/>
                <w:szCs w:val="26"/>
              </w:rPr>
              <w:t>份自存，</w:t>
            </w:r>
            <w:r w:rsidRPr="00C962D4">
              <w:rPr>
                <w:rFonts w:ascii="Times New Roman" w:eastAsia="標楷體" w:hAnsi="Times New Roman" w:cs="Times New Roman"/>
                <w:color w:val="000000"/>
                <w:kern w:val="0"/>
                <w:sz w:val="26"/>
                <w:szCs w:val="26"/>
              </w:rPr>
              <w:t>1</w:t>
            </w:r>
            <w:r w:rsidRPr="00C962D4">
              <w:rPr>
                <w:rFonts w:ascii="Times New Roman" w:eastAsia="標楷體" w:hAnsi="Times New Roman" w:cs="Times New Roman"/>
                <w:color w:val="000000"/>
                <w:kern w:val="0"/>
                <w:sz w:val="26"/>
                <w:szCs w:val="26"/>
              </w:rPr>
              <w:t>份送</w:t>
            </w:r>
            <w:r w:rsidR="00C962D4">
              <w:rPr>
                <w:rFonts w:ascii="Times New Roman" w:eastAsia="標楷體" w:hAnsi="Times New Roman" w:cs="Times New Roman" w:hint="eastAsia"/>
                <w:color w:val="000000"/>
                <w:kern w:val="0"/>
                <w:sz w:val="26"/>
                <w:szCs w:val="26"/>
              </w:rPr>
              <w:t>臺東縣政府農業處</w:t>
            </w:r>
            <w:r w:rsidRPr="00C962D4">
              <w:rPr>
                <w:rFonts w:ascii="Times New Roman" w:eastAsia="標楷體" w:hAnsi="Times New Roman" w:cs="Times New Roman"/>
                <w:color w:val="000000"/>
                <w:kern w:val="0"/>
                <w:sz w:val="26"/>
                <w:szCs w:val="26"/>
              </w:rPr>
              <w:t>。</w:t>
            </w:r>
          </w:p>
        </w:tc>
      </w:tr>
      <w:tr w:rsidR="008A615B" w:rsidRPr="008A615B" w14:paraId="38730879" w14:textId="77777777" w:rsidTr="008A615B">
        <w:trPr>
          <w:trHeight w:val="285"/>
        </w:trPr>
        <w:tc>
          <w:tcPr>
            <w:tcW w:w="8336" w:type="dxa"/>
            <w:tcBorders>
              <w:top w:val="nil"/>
              <w:left w:val="nil"/>
              <w:bottom w:val="nil"/>
              <w:right w:val="nil"/>
            </w:tcBorders>
            <w:shd w:val="clear" w:color="auto" w:fill="auto"/>
            <w:noWrap/>
            <w:vAlign w:val="bottom"/>
            <w:hideMark/>
          </w:tcPr>
          <w:p w14:paraId="50506D04"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十、統計用途：作為編製本鄉統計年報等書刊重要資料之一並提供各級長官及有關單位作為決策之參據。</w:t>
            </w:r>
          </w:p>
        </w:tc>
      </w:tr>
    </w:tbl>
    <w:p w14:paraId="3018D184" w14:textId="77777777" w:rsidR="0072068F" w:rsidRPr="008A615B" w:rsidRDefault="0072068F"/>
    <w:sectPr w:rsidR="0072068F" w:rsidRPr="008A615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B5F47"/>
    <w:multiLevelType w:val="hybridMultilevel"/>
    <w:tmpl w:val="D592CB08"/>
    <w:lvl w:ilvl="0" w:tplc="A2CE3D4C">
      <w:start w:val="1"/>
      <w:numFmt w:val="taiwaneseCountingThousand"/>
      <w:lvlText w:val="(%1)"/>
      <w:lvlJc w:val="left"/>
      <w:pPr>
        <w:ind w:left="960" w:hanging="450"/>
      </w:pPr>
      <w:rPr>
        <w:rFonts w:hint="default"/>
      </w:r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1" w15:restartNumberingAfterBreak="0">
    <w:nsid w:val="291257F9"/>
    <w:multiLevelType w:val="hybridMultilevel"/>
    <w:tmpl w:val="688C5CE6"/>
    <w:lvl w:ilvl="0" w:tplc="B8E6E0DE">
      <w:start w:val="1"/>
      <w:numFmt w:val="taiwaneseCountingThousand"/>
      <w:lvlText w:val="(%1)"/>
      <w:lvlJc w:val="left"/>
      <w:pPr>
        <w:ind w:left="975" w:hanging="450"/>
      </w:pPr>
      <w:rPr>
        <w:rFonts w:hint="default"/>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num w:numId="1" w16cid:durableId="751513833">
    <w:abstractNumId w:val="1"/>
  </w:num>
  <w:num w:numId="2" w16cid:durableId="894705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15B"/>
    <w:rsid w:val="0072068F"/>
    <w:rsid w:val="008A615B"/>
    <w:rsid w:val="00C962D4"/>
    <w:rsid w:val="00E64C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416B9"/>
  <w15:docId w15:val="{B4617725-0259-4E7B-BEF7-FAE3937C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62D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20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101</Words>
  <Characters>582</Characters>
  <Application>Microsoft Office Word</Application>
  <DocSecurity>0</DocSecurity>
  <Lines>4</Lines>
  <Paragraphs>1</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鹿野鄉公所 11</cp:lastModifiedBy>
  <cp:revision>3</cp:revision>
  <dcterms:created xsi:type="dcterms:W3CDTF">2023-08-23T10:40:00Z</dcterms:created>
  <dcterms:modified xsi:type="dcterms:W3CDTF">2023-10-18T03:22:00Z</dcterms:modified>
</cp:coreProperties>
</file>